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5C364D20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83082C">
        <w:rPr>
          <w:rFonts w:asciiTheme="majorHAnsi" w:eastAsia="Times New Roman" w:hAnsiTheme="majorHAnsi" w:cs="Times New Roman"/>
          <w:lang w:eastAsia="cs-CZ"/>
        </w:rPr>
        <w:t>9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  <w:r w:rsidR="0083082C">
        <w:rPr>
          <w:rFonts w:asciiTheme="majorHAnsi" w:eastAsia="Times New Roman" w:hAnsiTheme="majorHAnsi" w:cs="Times New Roman"/>
          <w:lang w:eastAsia="cs-CZ"/>
        </w:rPr>
        <w:t xml:space="preserve"> 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8E1D5C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8E1D5C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8E1D5C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</w:t>
      </w:r>
      <w:r w:rsidR="00EF4199" w:rsidRPr="008E1D5C">
        <w:rPr>
          <w:rFonts w:asciiTheme="majorHAnsi" w:eastAsia="Times New Roman" w:hAnsiTheme="majorHAnsi" w:cs="Times New Roman"/>
          <w:highlight w:val="yellow"/>
          <w:lang w:eastAsia="cs-CZ"/>
        </w:rPr>
        <w:t>Objednateli</w:t>
      </w:r>
      <w:r w:rsidR="00DD29C3" w:rsidRPr="008E1D5C">
        <w:rPr>
          <w:rFonts w:asciiTheme="majorHAnsi" w:eastAsia="Times New Roman" w:hAnsiTheme="majorHAnsi" w:cs="Times New Roman"/>
          <w:highlight w:val="yellow"/>
          <w:lang w:eastAsia="cs-CZ"/>
        </w:rPr>
        <w:t xml:space="preserve"> předmět plnění dle Smlouvy sám</w:t>
      </w:r>
      <w:r w:rsidR="00082D79" w:rsidRPr="008E1D5C">
        <w:rPr>
          <w:rFonts w:asciiTheme="majorHAnsi" w:eastAsia="Times New Roman" w:hAnsiTheme="majorHAnsi" w:cs="Times New Roman"/>
          <w:highlight w:val="yellow"/>
          <w:lang w:eastAsia="cs-CZ"/>
        </w:rPr>
        <w:t>.</w:t>
      </w:r>
      <w:r w:rsidR="00DD29C3" w:rsidRPr="008E1D5C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</w:p>
    <w:p w14:paraId="473268BD" w14:textId="77777777" w:rsidR="00DD29C3" w:rsidRPr="008E1D5C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8E1D5C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8E1D5C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8E1D5C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8E1D5C">
              <w:rPr>
                <w:rFonts w:asciiTheme="majorHAnsi" w:hAnsiTheme="majorHAnsi" w:cs="Tahoma"/>
                <w:highlight w:val="yellow"/>
              </w:rPr>
              <w:t>[</w:t>
            </w:r>
            <w:r w:rsidRPr="008E1D5C">
              <w:rPr>
                <w:rFonts w:asciiTheme="majorHAnsi" w:hAnsiTheme="majorHAnsi" w:cs="Tahoma"/>
                <w:i/>
                <w:highlight w:val="yellow"/>
              </w:rPr>
              <w:t xml:space="preserve">OBCHODNÍ FIRMA PODDODAVATELE – NÁZEV, IČO, SÍDLO – DOPLNÍ </w:t>
            </w:r>
            <w:r w:rsidR="00F774A6" w:rsidRPr="008E1D5C">
              <w:rPr>
                <w:rFonts w:asciiTheme="majorHAnsi" w:hAnsiTheme="majorHAnsi" w:cs="Tahoma"/>
                <w:i/>
                <w:highlight w:val="yellow"/>
              </w:rPr>
              <w:t>POSKYTOVATEL</w:t>
            </w:r>
            <w:r w:rsidRPr="008E1D5C">
              <w:rPr>
                <w:rFonts w:asciiTheme="majorHAnsi" w:hAnsiTheme="majorHAnsi" w:cs="Tahoma"/>
                <w:highlight w:val="yellow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8E1D5C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8E1D5C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8E1D5C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8E1D5C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8E1D5C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8E1D5C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8E1D5C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8E1D5C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14:paraId="5AE79DF4" w14:textId="4EE281B0" w:rsidR="00DD29C3" w:rsidRPr="008E1D5C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8E1D5C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F774A6" w:rsidRPr="008E1D5C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8E1D5C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8E1D5C">
        <w:rPr>
          <w:rFonts w:asciiTheme="majorHAnsi" w:eastAsia="Times New Roman" w:hAnsiTheme="majorHAnsi" w:cs="Times New Roman"/>
          <w:highlight w:val="yellow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 w:rsidRPr="008E1D5C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8E1D5C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8E1D5C">
        <w:rPr>
          <w:rFonts w:asciiTheme="majorHAnsi" w:eastAsia="Times New Roman" w:hAnsiTheme="majorHAnsi" w:cs="Times New Roman"/>
          <w:highlight w:val="yellow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97ADB" w14:textId="1FA03AA2" w:rsidR="008E1D5C" w:rsidRDefault="008E1D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3489A58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6228066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3082C"/>
    <w:rsid w:val="008659F3"/>
    <w:rsid w:val="00886D4B"/>
    <w:rsid w:val="00894F24"/>
    <w:rsid w:val="00895406"/>
    <w:rsid w:val="008A3568"/>
    <w:rsid w:val="008D03B9"/>
    <w:rsid w:val="008E1D5C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E270C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9A3BEA4-E0A1-436B-9C35-C42800807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6</cp:revision>
  <cp:lastPrinted>2017-11-28T17:18:00Z</cp:lastPrinted>
  <dcterms:created xsi:type="dcterms:W3CDTF">2024-01-25T09:37:00Z</dcterms:created>
  <dcterms:modified xsi:type="dcterms:W3CDTF">2025-11-05T09:16:00Z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